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Maven Pro" w:cs="Maven Pro" w:eastAsia="Maven Pro" w:hAnsi="Maven Pro"/>
          <w:b w:val="1"/>
          <w:color w:val="000000"/>
          <w:sz w:val="22"/>
          <w:szCs w:val="22"/>
        </w:rPr>
      </w:pPr>
      <w:r w:rsidDel="00000000" w:rsidR="00000000" w:rsidRPr="00000000">
        <w:rPr>
          <w:rFonts w:ascii="Maven Pro" w:cs="Maven Pro" w:eastAsia="Maven Pro" w:hAnsi="Maven Pro"/>
          <w:b w:val="1"/>
          <w:color w:val="000000"/>
          <w:sz w:val="22"/>
          <w:szCs w:val="22"/>
          <w:rtl w:val="0"/>
        </w:rPr>
        <w:t xml:space="preserve">Medezeggenschapstatuut van Innoord te Amsterdam </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i w:val="1"/>
          <w:color w:val="000000"/>
          <w:sz w:val="22"/>
          <w:szCs w:val="22"/>
          <w:rtl w:val="0"/>
        </w:rPr>
        <w:t xml:space="preserve">Hoofdstuk 1</w:t>
        <w:tab/>
        <w:t xml:space="preserve">Algemene bepalingen</w:t>
      </w:r>
      <w:r w:rsidDel="00000000" w:rsidR="00000000" w:rsidRPr="00000000">
        <w:rPr>
          <w:rFonts w:ascii="Maven Pro" w:cs="Maven Pro" w:eastAsia="Maven Pro" w:hAnsi="Maven Pro"/>
          <w:color w:val="000000"/>
          <w:sz w:val="22"/>
          <w:szCs w:val="22"/>
          <w:rtl w:val="0"/>
        </w:rPr>
        <w:br w:type="textWrapp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color w:val="000000"/>
          <w:sz w:val="22"/>
          <w:szCs w:val="22"/>
          <w:rtl w:val="0"/>
        </w:rPr>
        <w:t xml:space="preserve">Artikel 1</w:t>
        <w:tab/>
        <w:t xml:space="preserve">Begripsbepalingen</w:t>
      </w:r>
      <w:r w:rsidDel="00000000" w:rsidR="00000000" w:rsidRPr="00000000">
        <w:rPr>
          <w:rtl w:val="0"/>
        </w:rPr>
      </w:r>
    </w:p>
    <w:p w:rsidR="00000000" w:rsidDel="00000000" w:rsidP="00000000" w:rsidRDefault="00000000" w:rsidRPr="00000000" w14:paraId="00000006">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wet: de Wet medezeggenschap op scholen (Stb. 2006, 658);</w:t>
      </w:r>
    </w:p>
    <w:p w:rsidR="00000000" w:rsidDel="00000000" w:rsidP="00000000" w:rsidRDefault="00000000" w:rsidRPr="00000000" w14:paraId="00000007">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bevoegd gezag: Stichting Openbaar Onderwijs Noord h.o.d.n. Innoord;</w:t>
      </w:r>
    </w:p>
    <w:p w:rsidR="00000000" w:rsidDel="00000000" w:rsidP="00000000" w:rsidRDefault="00000000" w:rsidRPr="00000000" w14:paraId="00000008">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bestuurder: de bestuurder van Innoord;</w:t>
      </w:r>
    </w:p>
    <w:p w:rsidR="00000000" w:rsidDel="00000000" w:rsidP="00000000" w:rsidRDefault="00000000" w:rsidRPr="00000000" w14:paraId="00000009">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GMR: de gemeenschappelijke medezeggenschapsraad als bedoeld in artikel 4 van de wet;</w:t>
      </w:r>
    </w:p>
    <w:p w:rsidR="00000000" w:rsidDel="00000000" w:rsidP="00000000" w:rsidRDefault="00000000" w:rsidRPr="00000000" w14:paraId="0000000A">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MR: de medezeggenschapsraad als bedoeld in artikel 3 van de wet;</w:t>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scholen: de onder het bevoegd gezag staande scholen;</w:t>
      </w:r>
    </w:p>
    <w:p w:rsidR="00000000" w:rsidDel="00000000" w:rsidP="00000000" w:rsidRDefault="00000000" w:rsidRPr="00000000" w14:paraId="0000000C">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leerlingen: de leerlingen, in de zin van de Wet op het primair onderwijs, van de scholen;</w:t>
      </w:r>
    </w:p>
    <w:p w:rsidR="00000000" w:rsidDel="00000000" w:rsidP="00000000" w:rsidRDefault="00000000" w:rsidRPr="00000000" w14:paraId="0000000D">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ouders: de ouders, voogden of verzorgers van de leerlingen;</w:t>
      </w:r>
    </w:p>
    <w:p w:rsidR="00000000" w:rsidDel="00000000" w:rsidP="00000000" w:rsidRDefault="00000000" w:rsidRPr="00000000" w14:paraId="0000000E">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personeel: het personeel dat in dienst is dan wel ten minste 6 maanden te werk gesteld is zonder benoeming bij het bevoegd gezag en dat werkzaam is op de scholen;</w:t>
      </w:r>
    </w:p>
    <w:p w:rsidR="00000000" w:rsidDel="00000000" w:rsidP="00000000" w:rsidRDefault="00000000" w:rsidRPr="00000000" w14:paraId="0000000F">
      <w:pPr>
        <w:numPr>
          <w:ilvl w:val="0"/>
          <w:numId w:val="9"/>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geleding: een afzonderlijke groep van medezeggenschapsraadsleden, als bedoeld in artikel 3, derde lid van de wet;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color w:val="000000"/>
          <w:sz w:val="22"/>
          <w:szCs w:val="22"/>
          <w:rtl w:val="0"/>
        </w:rPr>
        <w:t xml:space="preserve">Artikel 2</w:t>
        <w:tab/>
        <w:t xml:space="preserve">Aard en werkingsduur statuut</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Het statuut treedt in werking op 1 juli 2017 en heeft een werkingsduur van twee jaar.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Uiterlijk 3 maanden voordat de termijn in het voorgaande lid is afgelopen, treden de GMR en het bevoegd gezag in overleg over het evalueren, actualiseren en opnieuw vaststellen van het statuut.</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Het bevoegd gezag en de GMR kunnen voorstellen doen tot wijziging van het statuut ongeacht het aflopen van de in het eerste lid van dit artikel genoemde termijn.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Een voorstel tot een of meer bepalingen van het statuut of een wijziging van het statuut behoeft de instemming van twee derde meerderheid van de leden van de GMR. </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i w:val="1"/>
          <w:color w:val="000000"/>
          <w:sz w:val="22"/>
          <w:szCs w:val="22"/>
          <w:rtl w:val="0"/>
        </w:rPr>
        <w:t xml:space="preserve">Hoofdstuk 2</w:t>
        <w:tab/>
        <w:t xml:space="preserve">Inrichting van de medezeggenschap</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color w:val="000000"/>
          <w:sz w:val="22"/>
          <w:szCs w:val="22"/>
          <w:rtl w:val="0"/>
        </w:rPr>
        <w:t xml:space="preserve">Artikel 3.1</w:t>
        <w:tab/>
        <w:t xml:space="preserve">GMR</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Aan de scholen is een GMR verbonden.</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w:t>
      </w:r>
      <w:r w:rsidDel="00000000" w:rsidR="00000000" w:rsidRPr="00000000">
        <w:rPr>
          <w:rFonts w:ascii="Maven Pro" w:cs="Maven Pro" w:eastAsia="Maven Pro" w:hAnsi="Maven Pro"/>
          <w:sz w:val="22"/>
          <w:szCs w:val="22"/>
          <w:rtl w:val="0"/>
        </w:rPr>
        <w:t xml:space="preserve">e</w:t>
      </w:r>
      <w:r w:rsidDel="00000000" w:rsidR="00000000" w:rsidRPr="00000000">
        <w:rPr>
          <w:rFonts w:ascii="Maven Pro" w:cs="Maven Pro" w:eastAsia="Maven Pro" w:hAnsi="Maven Pro"/>
          <w:color w:val="000000"/>
          <w:sz w:val="22"/>
          <w:szCs w:val="22"/>
          <w:rtl w:val="0"/>
        </w:rPr>
        <w:t xml:space="preserve"> GMR bestaat uit 6 leden  gekozen door de personeelsgeledingen van de medezeggenschapsraden van de scholen en 6 leden gekozen door de oudergeledingen van de medezeggenschapsraden, en wel zo dat het aantal leden, gekozen uit het personeel van de scholen onderscheidenlijk uit ouders, elk de helft van het aantal leden van de GMR bedraagt.</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verkiezing van de leden van de GMR vindt plaats overeenkomstig het medezeggenschapsreglement van de GMR.</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color w:val="000000"/>
          <w:sz w:val="22"/>
          <w:szCs w:val="22"/>
          <w:rtl w:val="0"/>
        </w:rPr>
        <w:t xml:space="preserve">Artikel 3.2</w:t>
        <w:tab/>
        <w:t xml:space="preserve">MR</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Aan elke school met een Brin-nummer is een MR verbonden.</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MR bestaat uit minimaal 2 leden gekozen uit en door het personeel van de desbetreffende school en minimaal 2 leden gekozen uit en door de ouders van de desbetreffende school, en wel zo dat het aantal leden, gekozen uit het personeel van de scholen onderscheidenlijk uit ouders, elk de helft van het aantal leden van de MR bedraagt.</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verkiezing van de leden van de MR vindt plaats overeenkomstig het medezeggenschapsreglement van de MR.</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i w:val="1"/>
          <w:color w:val="000000"/>
          <w:sz w:val="22"/>
          <w:szCs w:val="22"/>
          <w:rtl w:val="0"/>
        </w:rPr>
        <w:t xml:space="preserve">Hoofdstuk 3</w:t>
        <w:tab/>
        <w:t xml:space="preserve">Informatievoorziening</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color w:val="000000"/>
          <w:sz w:val="22"/>
          <w:szCs w:val="22"/>
          <w:rtl w:val="0"/>
        </w:rPr>
        <w:t xml:space="preserve">Artikel 4</w:t>
        <w:tab/>
        <w:t xml:space="preserve">Informatievoorziening door het bevoegd gezag</w:t>
      </w: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Het bevoegd gezag verstrekt de GMR, de MR, dan wel de geledingen, al dan niet gevraagd, tijdig en op een toegankelijke wijze, de informatie die ieder van hen voor de vervulling van hun taken nodig hebben.</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340" w:firstLine="0"/>
        <w:rPr>
          <w:rFonts w:ascii="Maven Pro" w:cs="Maven Pro" w:eastAsia="Maven Pro" w:hAnsi="Maven Pro"/>
          <w:color w:val="000000"/>
        </w:rPr>
      </w:pPr>
      <w:r w:rsidDel="00000000" w:rsidR="00000000" w:rsidRPr="00000000">
        <w:rPr>
          <w:rFonts w:ascii="Maven Pro" w:cs="Maven Pro" w:eastAsia="Maven Pro" w:hAnsi="Maven Pro"/>
          <w:color w:val="000000"/>
          <w:sz w:val="22"/>
          <w:szCs w:val="22"/>
          <w:rtl w:val="0"/>
        </w:rPr>
        <w:t xml:space="preserve">Onder ‘tijdig’ wordt verstaan: vanaf de beginfase van de beleidsontwikkeling, en in ieder geval op een zodanig tijdstip dat de GMR, MR en de geledingen, de informatie bij de uitoefening van hun taken kunnen betrekken, en zo nodig, deskundigen kunnen raadplegen. </w:t>
        <w:br w:type="textWrapping"/>
        <w:t xml:space="preserve">Onder ‘op een toegankelijke wijze’ wordt verstaan: op een wijze waardoor de informatie begrijpelijk, relevant en helder is voor de GMR, MR en de geledingen.</w:t>
      </w: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Tot de informatie als bedoeld in lid 1 behoort in ieder geval: </w:t>
      </w:r>
    </w:p>
    <w:p w:rsidR="00000000" w:rsidDel="00000000" w:rsidP="00000000" w:rsidRDefault="00000000" w:rsidRPr="00000000" w14:paraId="0000002A">
      <w:pPr>
        <w:numPr>
          <w:ilvl w:val="1"/>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jaarlijks de begroting en bijbehorende beleidsvoornemens op financieel, organisatorisch en onderwijskundig gebied;</w:t>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jaarlijks voor 1 mei informatie over de berekening die ten grondslag ligt aan de middelen uit ‘s Rijks kas die worden toegerekend aan het bevoegd gezag;</w:t>
      </w:r>
    </w:p>
    <w:p w:rsidR="00000000" w:rsidDel="00000000" w:rsidP="00000000" w:rsidRDefault="00000000" w:rsidRPr="00000000" w14:paraId="0000002C">
      <w:pPr>
        <w:numPr>
          <w:ilvl w:val="1"/>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jaarlijks voor 1 juli een jaarverslag als bedoeld in artikel 171 van de Wet op het primair onderwijs;</w:t>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uitgangspunten die het bevoegd gezag hanteert bij de uitoefening van zijn bevoegdheden;</w:t>
      </w:r>
    </w:p>
    <w:p w:rsidR="00000000" w:rsidDel="00000000" w:rsidP="00000000" w:rsidRDefault="00000000" w:rsidRPr="00000000" w14:paraId="0000002E">
      <w:pPr>
        <w:numPr>
          <w:ilvl w:val="1"/>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terstond informatie over elk oordeel van de klachtencommissie, bedoeld in artikel 14 van de Wet op het primair onderwijs, waarbij de commissie een klacht gegrond heeft geoordeeld en over de eventuele maatregelen die het bevoegd gezag naar aanleiding van dat oordeel zal nemen, een en ander met inachtneming van de regelingen met betrekking tot de privacy van het personeel, de ouders en de leerlingen, bedoeld in de artikelen 12, eerste lid, onderdeel m, 13, onderdeel i en 14, tweede lid, onderdeel f en derde lid, onderdeel d van de wet;</w:t>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ten minste eenmaal per jaar schriftelijk gegevens over de hoogte en inhoud van de arbeidsvoorwaardelijke regelingen en afspraken per groep van de in de scholen werkzame personen en de leden van het bevoegd gezag, waarbij inzichtelijk wordt gemaakt met welk percentage deze arbeidsvoorwaardelijke regelingen en afspraken zich verhouden tot elkaar en tot die van het voorafgaande</w:t>
      </w:r>
      <w:r w:rsidDel="00000000" w:rsidR="00000000" w:rsidRPr="00000000">
        <w:rPr>
          <w:rFonts w:ascii="Cambria" w:cs="Cambria" w:eastAsia="Cambria" w:hAnsi="Cambria"/>
          <w:color w:val="000000"/>
          <w:sz w:val="22"/>
          <w:szCs w:val="22"/>
          <w:rtl w:val="0"/>
        </w:rPr>
        <w:t xml:space="preserve"> </w:t>
      </w:r>
      <w:r w:rsidDel="00000000" w:rsidR="00000000" w:rsidRPr="00000000">
        <w:rPr>
          <w:rFonts w:ascii="Maven Pro" w:cs="Maven Pro" w:eastAsia="Maven Pro" w:hAnsi="Maven Pro"/>
          <w:color w:val="000000"/>
          <w:sz w:val="22"/>
          <w:szCs w:val="22"/>
          <w:rtl w:val="0"/>
        </w:rPr>
        <w:t xml:space="preserve">jaar;</w:t>
      </w:r>
    </w:p>
    <w:p w:rsidR="00000000" w:rsidDel="00000000" w:rsidP="00000000" w:rsidRDefault="00000000" w:rsidRPr="00000000" w14:paraId="00000030">
      <w:pPr>
        <w:numPr>
          <w:ilvl w:val="1"/>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ten minste eenmaal per jaar schriftelijk gegevens over de hoogte en inhoud van de arbeidsvoorwaardelijke regelingen en afspraken met het orgaan van de rechtspersoon dat is belast met het toezicht op het bevoegd gezag, waarbij inzichtelijk wordt gemaakt met welk percentage deze arbeidsvoorwaardelijke regelingen en afspraken zich verhouden tot elkaar en tot die van het voorafgaande</w:t>
      </w:r>
      <w:r w:rsidDel="00000000" w:rsidR="00000000" w:rsidRPr="00000000">
        <w:rPr>
          <w:rFonts w:ascii="Cambria" w:cs="Cambria" w:eastAsia="Cambria" w:hAnsi="Cambria"/>
          <w:color w:val="000000"/>
          <w:sz w:val="22"/>
          <w:szCs w:val="22"/>
          <w:rtl w:val="0"/>
        </w:rPr>
        <w:t xml:space="preserve"> </w:t>
      </w:r>
      <w:r w:rsidDel="00000000" w:rsidR="00000000" w:rsidRPr="00000000">
        <w:rPr>
          <w:rFonts w:ascii="Maven Pro" w:cs="Maven Pro" w:eastAsia="Maven Pro" w:hAnsi="Maven Pro"/>
          <w:color w:val="000000"/>
          <w:sz w:val="22"/>
          <w:szCs w:val="22"/>
          <w:rtl w:val="0"/>
        </w:rPr>
        <w:t xml:space="preserve">jaar; en</w:t>
      </w:r>
    </w:p>
    <w:p w:rsidR="00000000" w:rsidDel="00000000" w:rsidP="00000000" w:rsidRDefault="00000000" w:rsidRPr="00000000" w14:paraId="00000031">
      <w:pPr>
        <w:numPr>
          <w:ilvl w:val="1"/>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aan het begin van het schooljaar schriftelijk de gegevens met betrekking tot de samenstelling van het bevoegd gezag, de organisatie binnen de scholen, het managementstatuut en de hoofdpunten van het reeds vastgestelde beleid.</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Het bevoegd gezag stelt de informatie in principe digitaal ter beschikking aan de GMR en MR.</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Alle verkregen informatie is in principe openbaar.</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ind w:left="340" w:hanging="34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Indien het bevoegd gezag een voorstel voor advies of instemming voorlegt aan een geleding van de GMR of MR, biedt het bevoegd gezag dat voorstel gelijktijdig ter kennisneming aan de andere geleding van de GMR of MR aan.</w:t>
      </w:r>
      <w:r w:rsidDel="00000000" w:rsidR="00000000" w:rsidRPr="00000000">
        <w:rPr>
          <w:color w:val="000000"/>
          <w:rtl w:val="0"/>
        </w:rPr>
        <w:t xml:space="preserve"> </w:t>
      </w:r>
      <w:r w:rsidDel="00000000" w:rsidR="00000000" w:rsidRPr="00000000">
        <w:rPr>
          <w:rFonts w:ascii="Maven Pro" w:cs="Maven Pro" w:eastAsia="Maven Pro" w:hAnsi="Maven Pro"/>
          <w:color w:val="000000"/>
          <w:sz w:val="22"/>
          <w:szCs w:val="22"/>
          <w:rtl w:val="0"/>
        </w:rPr>
        <w:t xml:space="preserve">Daarbij verstrekt het bevoegd gezag de beweegredenen van het voorstel, alsmede de gevolgen die de uitwerking van het voorstel naar verwachting zal hebben voor het personeel, ouders en leerlingen en van de naar aanleiding daarvan genomen maatregelen.</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color w:val="000000"/>
          <w:sz w:val="22"/>
          <w:szCs w:val="22"/>
          <w:rtl w:val="0"/>
        </w:rPr>
        <w:t xml:space="preserve">Artikel 5</w:t>
        <w:tab/>
        <w:t xml:space="preserve">Informatieverstrekking betrokkenen </w:t>
      </w:r>
      <w:r w:rsidDel="00000000" w:rsidR="00000000" w:rsidRPr="00000000">
        <w:rPr>
          <w:rtl w:val="0"/>
        </w:rPr>
      </w:r>
    </w:p>
    <w:p w:rsidR="00000000" w:rsidDel="00000000" w:rsidP="00000000" w:rsidRDefault="00000000" w:rsidRPr="00000000" w14:paraId="00000037">
      <w:pPr>
        <w:numPr>
          <w:ilvl w:val="0"/>
          <w:numId w:val="5"/>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GMR en MR doen aan alle bij de scholen betrokkenen gevraagd en ongevraagd schriftelijk verslag over hun activiteiten en stellen ieder van hen in de gelegenheid om met ieder van hen overleg te voeren.</w:t>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vergaderingen van de GMR en de MR dan wel de geledingen, zijn in principe openbaar.</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Alle informatie wordt in principe digitaal verstrekt en, waar mogelijk en wenselijk, eveneens schriftelijk. </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color w:val="000000"/>
          <w:sz w:val="22"/>
          <w:szCs w:val="22"/>
          <w:rtl w:val="0"/>
        </w:rPr>
        <w:t xml:space="preserve">Artikel 6</w:t>
        <w:tab/>
        <w:t xml:space="preserve">Onderlinge informatieverstrekking </w:t>
      </w:r>
      <w:r w:rsidDel="00000000" w:rsidR="00000000" w:rsidRPr="00000000">
        <w:rPr>
          <w:rtl w:val="0"/>
        </w:rPr>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GMR, MR en hun geledingen doen aan elkaar gevraagd en ongevraagd schriftelijk verslag over hun activiteiten en stellen ieder van hen in de gelegenheid om met ieder van hen overleg te voeren.</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Alle informatie wordt in principe langs digitale weg verstrekt en, waar mogelijk en wenselijk, eveneens schriftelijk.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i w:val="1"/>
          <w:color w:val="000000"/>
          <w:sz w:val="22"/>
          <w:szCs w:val="22"/>
          <w:rtl w:val="0"/>
        </w:rPr>
        <w:t xml:space="preserve">Hoofdstuk 4</w:t>
        <w:tab/>
        <w:t xml:space="preserve">Faciliteiten</w:t>
      </w:r>
      <w:r w:rsidDel="00000000" w:rsidR="00000000" w:rsidRPr="00000000">
        <w:rPr>
          <w:rFonts w:ascii="Maven Pro" w:cs="Maven Pro" w:eastAsia="Maven Pro" w:hAnsi="Maven Pro"/>
          <w:color w:val="000000"/>
          <w:sz w:val="22"/>
          <w:szCs w:val="22"/>
          <w:rtl w:val="0"/>
        </w:rPr>
        <w:br w:type="textWrapping"/>
        <w:br w:type="textWrapping"/>
      </w:r>
      <w:r w:rsidDel="00000000" w:rsidR="00000000" w:rsidRPr="00000000">
        <w:rPr>
          <w:rFonts w:ascii="Maven Pro" w:cs="Maven Pro" w:eastAsia="Maven Pro" w:hAnsi="Maven Pro"/>
          <w:b w:val="1"/>
          <w:color w:val="000000"/>
          <w:sz w:val="22"/>
          <w:szCs w:val="22"/>
          <w:rtl w:val="0"/>
        </w:rPr>
        <w:t xml:space="preserve">Artikel 7</w:t>
        <w:tab/>
        <w:t xml:space="preserve">Faciliteiten en wijze van beschikbaarstelling</w:t>
      </w:r>
      <w:r w:rsidDel="00000000" w:rsidR="00000000" w:rsidRPr="00000000">
        <w:rPr>
          <w:rFonts w:ascii="Maven Pro" w:cs="Maven Pro" w:eastAsia="Maven Pro" w:hAnsi="Maven Pro"/>
          <w:color w:val="000000"/>
          <w:sz w:val="22"/>
          <w:szCs w:val="22"/>
          <w:rtl w:val="0"/>
        </w:rPr>
        <w:t xml:space="preserve">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Het bevoegd gezag staat aan ouders en personeelsleden, die deelnemen in de GMR, MR en  de geledingen, het gebruik toe van de voorzieningen waarover het bevoegd gezag kan beschikken en die zij voor de vervulling van hun taken redelijkerwijs nodig hebben. Het bevoegd gezag vergoedt verder alle scholingskosten voor de (G)MR-leden.</w:t>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Er is een vacatieregeling voor ouders, afspraken daarover zijn vastgelegd in artikel 14 ”Vacatiegelden oudergeleding” van het huishoudelijk reglement GMR van Innoord.</w:t>
      </w:r>
    </w:p>
    <w:p w:rsidR="00000000" w:rsidDel="00000000" w:rsidP="00000000" w:rsidRDefault="00000000" w:rsidRPr="00000000" w14:paraId="00000043">
      <w:pPr>
        <w:numPr>
          <w:ilvl w:val="0"/>
          <w:numId w:val="7"/>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Het bevoegd gezag voorziet desgewenst in ambtelijke en administratieve ondersteuning van de GMR.</w:t>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Op het schriftelijk verzoek van ouders en personeelsleden, die deelnemen in de GMR, MR en de geledingen vergoedt het bevoegd gezag terstond de redelijkerwijs noodzakelijke kosten van medezeggenschapsactiviteiten die door hen worden ondernomen, daaronder begrepen scholingskosten, kosten voor inhuur van deskundigen en kosten van het voeren van rechtsgedingen. De GMR, MR en geledingen kunnen het bevoegd gezag verzoeken deze kosten rechtstreeks aan de deskundige of andere derde partij te betalen. In dit laatste geval voldoet het bevoegd gezag terstond aan dat verzoek.</w:t>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GMR, de MR en de geledingen stellen het bevoegd gezag vooraf in kennis van de medezeggenschapsactiviteiten, als bedoeld in lid 5.</w:t>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Innoord faciliteert de personeelsgeleding van de (G)MR conform de bepalingen in de cao primair onderwijs. Dit betreft zowel de vergoeding in tijd, scholing als in geld.  </w:t>
        <w:br w:type="textWrapping"/>
        <w:br w:type="textWrapping"/>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i w:val="1"/>
          <w:color w:val="000000"/>
          <w:sz w:val="22"/>
          <w:szCs w:val="22"/>
          <w:rtl w:val="0"/>
        </w:rPr>
        <w:t xml:space="preserve">Hoofdstuk 5</w:t>
        <w:tab/>
        <w:t xml:space="preserve">Besprekingen</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Maven Pro" w:cs="Maven Pro" w:eastAsia="Maven Pro" w:hAnsi="Maven Pro"/>
          <w:color w:val="000000"/>
          <w:sz w:val="15"/>
          <w:szCs w:val="15"/>
        </w:rPr>
      </w:pPr>
      <w:r w:rsidDel="00000000" w:rsidR="00000000" w:rsidRPr="00000000">
        <w:rPr>
          <w:rFonts w:ascii="Maven Pro" w:cs="Maven Pro" w:eastAsia="Maven Pro" w:hAnsi="Maven Pro"/>
          <w:b w:val="1"/>
          <w:color w:val="000000"/>
          <w:sz w:val="22"/>
          <w:szCs w:val="22"/>
          <w:rtl w:val="0"/>
        </w:rPr>
        <w:t xml:space="preserve">Artikel 8</w:t>
        <w:tab/>
        <w:t xml:space="preserve">Besprekingen namens bevoegd gezag</w:t>
      </w:r>
      <w:r w:rsidDel="00000000" w:rsidR="00000000" w:rsidRPr="00000000">
        <w:rPr>
          <w:rtl w:val="0"/>
        </w:rPr>
      </w:r>
    </w:p>
    <w:p w:rsidR="00000000" w:rsidDel="00000000" w:rsidP="00000000" w:rsidRDefault="00000000" w:rsidRPr="00000000" w14:paraId="0000004B">
      <w:pPr>
        <w:numPr>
          <w:ilvl w:val="0"/>
          <w:numId w:val="8"/>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bestuurder voert namens het bevoegd gezag de besprekingen als bedoeld in artikel 6, eerste lid van de wet met de leden van de GMR.</w:t>
      </w:r>
    </w:p>
    <w:p w:rsidR="00000000" w:rsidDel="00000000" w:rsidP="00000000" w:rsidRDefault="00000000" w:rsidRPr="00000000" w14:paraId="0000004C">
      <w:pPr>
        <w:numPr>
          <w:ilvl w:val="0"/>
          <w:numId w:val="8"/>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schoolleiding voert namens het bevoegd gezag de besprekingen als bedoeld in artikel 6, eerste lid van de wet met de leden van de MR.</w:t>
      </w:r>
    </w:p>
    <w:p w:rsidR="00000000" w:rsidDel="00000000" w:rsidP="00000000" w:rsidRDefault="00000000" w:rsidRPr="00000000" w14:paraId="0000004D">
      <w:pPr>
        <w:numPr>
          <w:ilvl w:val="0"/>
          <w:numId w:val="8"/>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Het bevoegd gezag kan een ander personeelslid dat management- of beleidstaken verricht ten behoeve van de school of bestuur opdragen bepaalde besprekingen met een van de raden te voeren namens het bevoegd gezag.</w:t>
      </w:r>
    </w:p>
    <w:p w:rsidR="00000000" w:rsidDel="00000000" w:rsidP="00000000" w:rsidRDefault="00000000" w:rsidRPr="00000000" w14:paraId="0000004E">
      <w:pPr>
        <w:numPr>
          <w:ilvl w:val="0"/>
          <w:numId w:val="8"/>
        </w:numPr>
        <w:pBdr>
          <w:top w:space="0" w:sz="0" w:val="nil"/>
          <w:left w:space="0" w:sz="0" w:val="nil"/>
          <w:bottom w:space="0" w:sz="0" w:val="nil"/>
          <w:right w:space="0" w:sz="0" w:val="nil"/>
          <w:between w:space="0" w:sz="0" w:val="nil"/>
        </w:pBdr>
        <w:ind w:left="360" w:hanging="360"/>
        <w:rPr>
          <w:rFonts w:ascii="Maven Pro" w:cs="Maven Pro" w:eastAsia="Maven Pro" w:hAnsi="Maven Pro"/>
          <w:color w:val="000000"/>
          <w:sz w:val="22"/>
          <w:szCs w:val="22"/>
        </w:rPr>
      </w:pPr>
      <w:r w:rsidDel="00000000" w:rsidR="00000000" w:rsidRPr="00000000">
        <w:rPr>
          <w:rFonts w:ascii="Maven Pro" w:cs="Maven Pro" w:eastAsia="Maven Pro" w:hAnsi="Maven Pro"/>
          <w:color w:val="000000"/>
          <w:sz w:val="22"/>
          <w:szCs w:val="22"/>
          <w:rtl w:val="0"/>
        </w:rPr>
        <w:t xml:space="preserve">De in lid 2 en 3 bedoelde personen kunnen op eigen verzoek of op verzoek van de GMR, de MR, dan wel de geledingen, van die taak ontheven worden. In dat geval zorgt het bevoegd gezag terstond voor een vergelijkbare vervanging.</w:t>
      </w:r>
    </w:p>
    <w:p w:rsidR="00000000" w:rsidDel="00000000" w:rsidP="00000000" w:rsidRDefault="00000000" w:rsidRPr="00000000" w14:paraId="0000004F">
      <w:pPr>
        <w:rPr>
          <w:rFonts w:ascii="Maven Pro" w:cs="Maven Pro" w:eastAsia="Maven Pro" w:hAnsi="Maven Pro"/>
          <w:sz w:val="22"/>
          <w:szCs w:val="22"/>
        </w:rPr>
      </w:pPr>
      <w:r w:rsidDel="00000000" w:rsidR="00000000" w:rsidRPr="00000000">
        <w:rPr>
          <w:rtl w:val="0"/>
        </w:rPr>
      </w:r>
    </w:p>
    <w:p w:rsidR="00000000" w:rsidDel="00000000" w:rsidP="00000000" w:rsidRDefault="00000000" w:rsidRPr="00000000" w14:paraId="00000050">
      <w:pPr>
        <w:rPr>
          <w:rFonts w:ascii="Maven Pro" w:cs="Maven Pro" w:eastAsia="Maven Pro" w:hAnsi="Maven Pro"/>
          <w:sz w:val="22"/>
          <w:szCs w:val="22"/>
        </w:rPr>
      </w:pPr>
      <w:r w:rsidDel="00000000" w:rsidR="00000000" w:rsidRPr="00000000">
        <w:rPr>
          <w:rtl w:val="0"/>
        </w:rPr>
      </w:r>
    </w:p>
    <w:p w:rsidR="00000000" w:rsidDel="00000000" w:rsidP="00000000" w:rsidRDefault="00000000" w:rsidRPr="00000000" w14:paraId="00000051">
      <w:pPr>
        <w:rPr>
          <w:rFonts w:ascii="Maven Pro" w:cs="Maven Pro" w:eastAsia="Maven Pro" w:hAnsi="Maven Pro"/>
          <w:sz w:val="22"/>
          <w:szCs w:val="22"/>
        </w:rPr>
      </w:pPr>
      <w:r w:rsidDel="00000000" w:rsidR="00000000" w:rsidRPr="00000000">
        <w:rPr>
          <w:rFonts w:ascii="Maven Pro" w:cs="Maven Pro" w:eastAsia="Maven Pro" w:hAnsi="Maven Pro"/>
          <w:sz w:val="22"/>
          <w:szCs w:val="22"/>
          <w:rtl w:val="0"/>
        </w:rPr>
        <w:t xml:space="preserve">Dit reglement treedt in werking op 1 juni 2023</w:t>
      </w:r>
    </w:p>
    <w:p w:rsidR="00000000" w:rsidDel="00000000" w:rsidP="00000000" w:rsidRDefault="00000000" w:rsidRPr="00000000" w14:paraId="00000052">
      <w:pPr>
        <w:rPr>
          <w:rFonts w:ascii="Maven Pro" w:cs="Maven Pro" w:eastAsia="Maven Pro" w:hAnsi="Maven Pro"/>
          <w:sz w:val="22"/>
          <w:szCs w:val="22"/>
        </w:rPr>
      </w:pPr>
      <w:r w:rsidDel="00000000" w:rsidR="00000000" w:rsidRPr="00000000">
        <w:rPr>
          <w:rtl w:val="0"/>
        </w:rPr>
      </w:r>
    </w:p>
    <w:p w:rsidR="00000000" w:rsidDel="00000000" w:rsidP="00000000" w:rsidRDefault="00000000" w:rsidRPr="00000000" w14:paraId="00000053">
      <w:pPr>
        <w:widowControl w:val="0"/>
        <w:rPr>
          <w:rFonts w:ascii="Maven Pro" w:cs="Maven Pro" w:eastAsia="Maven Pro" w:hAnsi="Maven Pro"/>
          <w:sz w:val="22"/>
          <w:szCs w:val="22"/>
        </w:rPr>
      </w:pPr>
      <w:bookmarkStart w:colFirst="0" w:colLast="0" w:name="_heading=h.gjdgxs" w:id="0"/>
      <w:bookmarkEnd w:id="0"/>
      <w:r w:rsidDel="00000000" w:rsidR="00000000" w:rsidRPr="00000000">
        <w:rPr>
          <w:rFonts w:ascii="Maven Pro" w:cs="Maven Pro" w:eastAsia="Maven Pro" w:hAnsi="Maven Pro"/>
          <w:sz w:val="22"/>
          <w:szCs w:val="22"/>
          <w:rtl w:val="0"/>
        </w:rPr>
        <w:t xml:space="preserve">Voorzitter GMR Innoord,</w:t>
        <w:tab/>
        <w:tab/>
        <w:tab/>
        <w:tab/>
        <w:t xml:space="preserve">Bestuurder Innoord,</w:t>
      </w:r>
    </w:p>
    <w:p w:rsidR="00000000" w:rsidDel="00000000" w:rsidP="00000000" w:rsidRDefault="00000000" w:rsidRPr="00000000" w14:paraId="00000054">
      <w:pPr>
        <w:widowControl w:val="0"/>
        <w:ind w:left="708" w:firstLine="708"/>
        <w:rPr>
          <w:rFonts w:ascii="Maven Pro" w:cs="Maven Pro" w:eastAsia="Maven Pro" w:hAnsi="Maven Pro"/>
          <w:sz w:val="22"/>
          <w:szCs w:val="22"/>
        </w:rPr>
      </w:pPr>
      <w:r w:rsidDel="00000000" w:rsidR="00000000" w:rsidRPr="00000000">
        <w:rPr>
          <w:rFonts w:ascii="Maven Pro" w:cs="Maven Pro" w:eastAsia="Maven Pro" w:hAnsi="Maven Pro"/>
          <w:sz w:val="22"/>
          <w:szCs w:val="22"/>
          <w:rtl w:val="0"/>
        </w:rPr>
        <w:tab/>
        <w:tab/>
        <w:tab/>
        <w:tab/>
        <w:tab/>
        <w:tab/>
      </w:r>
    </w:p>
    <w:p w:rsidR="00000000" w:rsidDel="00000000" w:rsidP="00000000" w:rsidRDefault="00000000" w:rsidRPr="00000000" w14:paraId="00000055">
      <w:pPr>
        <w:widowControl w:val="0"/>
        <w:rPr>
          <w:rFonts w:ascii="Maven Pro" w:cs="Maven Pro" w:eastAsia="Maven Pro" w:hAnsi="Maven Pro"/>
          <w:sz w:val="22"/>
          <w:szCs w:val="22"/>
        </w:rPr>
      </w:pPr>
      <w:r w:rsidDel="00000000" w:rsidR="00000000" w:rsidRPr="00000000">
        <w:rPr>
          <w:rtl w:val="0"/>
        </w:rPr>
      </w:r>
    </w:p>
    <w:p w:rsidR="00000000" w:rsidDel="00000000" w:rsidP="00000000" w:rsidRDefault="00000000" w:rsidRPr="00000000" w14:paraId="00000056">
      <w:pPr>
        <w:widowControl w:val="0"/>
        <w:rPr>
          <w:rFonts w:ascii="Maven Pro" w:cs="Maven Pro" w:eastAsia="Maven Pro" w:hAnsi="Maven Pro"/>
          <w:sz w:val="22"/>
          <w:szCs w:val="22"/>
        </w:rPr>
      </w:pPr>
      <w:r w:rsidDel="00000000" w:rsidR="00000000" w:rsidRPr="00000000">
        <w:rPr>
          <w:rFonts w:ascii="Maven Pro" w:cs="Maven Pro" w:eastAsia="Maven Pro" w:hAnsi="Maven Pro"/>
          <w:sz w:val="22"/>
          <w:szCs w:val="22"/>
          <w:rtl w:val="0"/>
        </w:rPr>
        <w:t xml:space="preserve">Datum:</w:t>
        <w:tab/>
        <w:tab/>
        <w:tab/>
        <w:tab/>
        <w:tab/>
        <w:tab/>
        <w:t xml:space="preserve">Datum:</w:t>
      </w:r>
    </w:p>
    <w:p w:rsidR="00000000" w:rsidDel="00000000" w:rsidP="00000000" w:rsidRDefault="00000000" w:rsidRPr="00000000" w14:paraId="00000057">
      <w:pPr>
        <w:widowControl w:val="0"/>
        <w:rPr>
          <w:rFonts w:ascii="Maven Pro" w:cs="Maven Pro" w:eastAsia="Maven Pro" w:hAnsi="Maven Pro"/>
          <w:sz w:val="22"/>
          <w:szCs w:val="22"/>
        </w:rPr>
      </w:pPr>
      <w:r w:rsidDel="00000000" w:rsidR="00000000" w:rsidRPr="00000000">
        <w:rPr>
          <w:rFonts w:ascii="Maven Pro" w:cs="Maven Pro" w:eastAsia="Maven Pro" w:hAnsi="Maven Pro"/>
          <w:sz w:val="22"/>
          <w:szCs w:val="22"/>
          <w:rtl w:val="0"/>
        </w:rPr>
        <w:tab/>
      </w:r>
    </w:p>
    <w:p w:rsidR="00000000" w:rsidDel="00000000" w:rsidP="00000000" w:rsidRDefault="00000000" w:rsidRPr="00000000" w14:paraId="00000058">
      <w:pPr>
        <w:widowControl w:val="0"/>
        <w:rPr>
          <w:rFonts w:ascii="Maven Pro" w:cs="Maven Pro" w:eastAsia="Maven Pro" w:hAnsi="Maven Pro"/>
          <w:sz w:val="22"/>
          <w:szCs w:val="22"/>
        </w:rPr>
      </w:pPr>
      <w:r w:rsidDel="00000000" w:rsidR="00000000" w:rsidRPr="00000000">
        <w:rPr>
          <w:rFonts w:ascii="Maven Pro" w:cs="Maven Pro" w:eastAsia="Maven Pro" w:hAnsi="Maven Pro"/>
          <w:sz w:val="22"/>
          <w:szCs w:val="22"/>
          <w:rtl w:val="0"/>
        </w:rPr>
        <w:t xml:space="preserve">Handtekening:</w:t>
        <w:tab/>
        <w:tab/>
        <w:tab/>
        <w:tab/>
        <w:tab/>
        <w:t xml:space="preserve">Handtekening</w:t>
      </w:r>
    </w:p>
    <w:p w:rsidR="00000000" w:rsidDel="00000000" w:rsidP="00000000" w:rsidRDefault="00000000" w:rsidRPr="00000000" w14:paraId="00000059">
      <w:pPr>
        <w:rPr>
          <w:rFonts w:ascii="Maven Pro" w:cs="Maven Pro" w:eastAsia="Maven Pro" w:hAnsi="Maven Pro"/>
          <w:sz w:val="22"/>
          <w:szCs w:val="22"/>
        </w:rPr>
      </w:pPr>
      <w:r w:rsidDel="00000000" w:rsidR="00000000" w:rsidRPr="00000000">
        <w:rPr>
          <w:rtl w:val="0"/>
        </w:rPr>
      </w:r>
    </w:p>
    <w:sectPr>
      <w:headerReference r:id="rId7" w:type="default"/>
      <w:footerReference r:id="rId8" w:type="default"/>
      <w:pgSz w:h="16838" w:w="11906" w:orient="portrait"/>
      <w:pgMar w:bottom="1440" w:top="1440" w:left="1797" w:right="1797" w:header="44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Verdana"/>
  <w:font w:name="Arial"/>
  <w:font w:name="Maven Pr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320"/>
        <w:tab w:val="right" w:leader="none" w:pos="8640"/>
        <w:tab w:val="right" w:leader="none" w:pos="8620"/>
      </w:tabs>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Medezeggenschapsstatuut Innoord 13 april 2023 , pagina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320"/>
        <w:tab w:val="right" w:leader="none" w:pos="8640"/>
        <w:tab w:val="right" w:leader="none" w:pos="8620"/>
      </w:tabs>
      <w:jc w:val="center"/>
      <w:rPr>
        <w:rFonts w:ascii="Verdana" w:cs="Verdana" w:eastAsia="Verdana" w:hAnsi="Verdana"/>
        <w:color w:val="000000"/>
        <w:sz w:val="13"/>
        <w:szCs w:val="13"/>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36"/>
        <w:tab w:val="right" w:leader="none" w:pos="9072"/>
        <w:tab w:val="right" w:leader="none" w:pos="8620"/>
      </w:tabs>
      <w:rPr>
        <w:rFonts w:ascii="Verdana" w:cs="Verdana" w:eastAsia="Verdana" w:hAnsi="Verdana"/>
        <w:color w:val="000000"/>
        <w:sz w:val="15"/>
        <w:szCs w:val="15"/>
      </w:rPr>
    </w:pPr>
    <w:r w:rsidDel="00000000" w:rsidR="00000000" w:rsidRPr="00000000">
      <w:rPr>
        <w:rFonts w:ascii="Verdana" w:cs="Verdana" w:eastAsia="Verdana" w:hAnsi="Verdana"/>
        <w:color w:val="000000"/>
        <w:sz w:val="15"/>
        <w:szCs w:val="15"/>
      </w:rPr>
      <w:drawing>
        <wp:inline distB="0" distT="0" distL="0" distR="0">
          <wp:extent cx="1508860" cy="362196"/>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8860" cy="3621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9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9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92"/>
      </w:pPr>
      <w:rPr>
        <w:smallCaps w:val="0"/>
        <w:strike w:val="0"/>
        <w:shd w:fill="auto" w:val="clear"/>
        <w:vertAlign w:val="baseline"/>
      </w:rPr>
    </w:lvl>
  </w:abstractNum>
  <w:abstractNum w:abstractNumId="2">
    <w:lvl w:ilvl="0">
      <w:start w:val="1"/>
      <w:numFmt w:val="decimal"/>
      <w:lvlText w:val="%1."/>
      <w:lvlJc w:val="left"/>
      <w:pPr>
        <w:ind w:left="360" w:hanging="360"/>
      </w:pPr>
      <w:rPr>
        <w:smallCaps w:val="0"/>
        <w:strike w:val="0"/>
        <w:color w:val="000000"/>
        <w:shd w:fill="auto" w:val="clear"/>
        <w:vertAlign w:val="baseline"/>
      </w:rPr>
    </w:lvl>
    <w:lvl w:ilvl="1">
      <w:start w:val="1"/>
      <w:numFmt w:val="lowerLetter"/>
      <w:lvlText w:val="%2."/>
      <w:lvlJc w:val="left"/>
      <w:pPr>
        <w:ind w:left="1440" w:hanging="360"/>
      </w:pPr>
      <w:rPr>
        <w:smallCaps w:val="0"/>
        <w:strike w:val="0"/>
        <w:color w:val="000000"/>
        <w:shd w:fill="auto" w:val="clear"/>
        <w:vertAlign w:val="baseline"/>
      </w:rPr>
    </w:lvl>
    <w:lvl w:ilvl="2">
      <w:start w:val="1"/>
      <w:numFmt w:val="lowerRoman"/>
      <w:lvlText w:val="%3."/>
      <w:lvlJc w:val="left"/>
      <w:pPr>
        <w:ind w:left="2160" w:hanging="292"/>
      </w:pPr>
      <w:rPr>
        <w:smallCaps w:val="0"/>
        <w:strike w:val="0"/>
        <w:color w:val="000000"/>
        <w:shd w:fill="auto" w:val="clear"/>
        <w:vertAlign w:val="baseline"/>
      </w:rPr>
    </w:lvl>
    <w:lvl w:ilvl="3">
      <w:start w:val="1"/>
      <w:numFmt w:val="decimal"/>
      <w:lvlText w:val="%4."/>
      <w:lvlJc w:val="left"/>
      <w:pPr>
        <w:ind w:left="2880" w:hanging="360"/>
      </w:pPr>
      <w:rPr>
        <w:smallCaps w:val="0"/>
        <w:strike w:val="0"/>
        <w:color w:val="000000"/>
        <w:shd w:fill="auto" w:val="clear"/>
        <w:vertAlign w:val="baseline"/>
      </w:rPr>
    </w:lvl>
    <w:lvl w:ilvl="4">
      <w:start w:val="1"/>
      <w:numFmt w:val="lowerLetter"/>
      <w:lvlText w:val="%5."/>
      <w:lvlJc w:val="left"/>
      <w:pPr>
        <w:ind w:left="3600" w:hanging="360"/>
      </w:pPr>
      <w:rPr>
        <w:smallCaps w:val="0"/>
        <w:strike w:val="0"/>
        <w:color w:val="000000"/>
        <w:shd w:fill="auto" w:val="clear"/>
        <w:vertAlign w:val="baseline"/>
      </w:rPr>
    </w:lvl>
    <w:lvl w:ilvl="5">
      <w:start w:val="1"/>
      <w:numFmt w:val="lowerRoman"/>
      <w:lvlText w:val="%6."/>
      <w:lvlJc w:val="left"/>
      <w:pPr>
        <w:ind w:left="4320" w:hanging="292"/>
      </w:pPr>
      <w:rPr>
        <w:smallCaps w:val="0"/>
        <w:strike w:val="0"/>
        <w:color w:val="000000"/>
        <w:shd w:fill="auto" w:val="clear"/>
        <w:vertAlign w:val="baseline"/>
      </w:rPr>
    </w:lvl>
    <w:lvl w:ilvl="6">
      <w:start w:val="1"/>
      <w:numFmt w:val="decimal"/>
      <w:lvlText w:val="%7."/>
      <w:lvlJc w:val="left"/>
      <w:pPr>
        <w:ind w:left="5040" w:hanging="360"/>
      </w:pPr>
      <w:rPr>
        <w:smallCaps w:val="0"/>
        <w:strike w:val="0"/>
        <w:color w:val="000000"/>
        <w:shd w:fill="auto" w:val="clear"/>
        <w:vertAlign w:val="baseline"/>
      </w:rPr>
    </w:lvl>
    <w:lvl w:ilvl="7">
      <w:start w:val="1"/>
      <w:numFmt w:val="lowerLetter"/>
      <w:lvlText w:val="%8."/>
      <w:lvlJc w:val="left"/>
      <w:pPr>
        <w:ind w:left="5760" w:hanging="360"/>
      </w:pPr>
      <w:rPr>
        <w:smallCaps w:val="0"/>
        <w:strike w:val="0"/>
        <w:color w:val="000000"/>
        <w:shd w:fill="auto" w:val="clear"/>
        <w:vertAlign w:val="baseline"/>
      </w:rPr>
    </w:lvl>
    <w:lvl w:ilvl="8">
      <w:start w:val="1"/>
      <w:numFmt w:val="lowerRoman"/>
      <w:lvlText w:val="%9."/>
      <w:lvlJc w:val="left"/>
      <w:pPr>
        <w:ind w:left="6480" w:hanging="292"/>
      </w:pPr>
      <w:rPr>
        <w:smallCaps w:val="0"/>
        <w:strike w:val="0"/>
        <w:color w:val="000000"/>
        <w:shd w:fill="auto" w:val="clear"/>
        <w:vertAlign w:val="baseline"/>
      </w:rPr>
    </w:lvl>
  </w:abstractNum>
  <w:abstractNum w:abstractNumId="3">
    <w:lvl w:ilvl="0">
      <w:start w:val="1"/>
      <w:numFmt w:val="decimal"/>
      <w:lvlText w:val="%1."/>
      <w:lvlJc w:val="left"/>
      <w:pPr>
        <w:ind w:left="340" w:hanging="340"/>
      </w:pPr>
      <w:rPr>
        <w:smallCaps w:val="0"/>
        <w:strike w:val="0"/>
        <w:shd w:fill="auto" w:val="clear"/>
        <w:vertAlign w:val="baseline"/>
      </w:rPr>
    </w:lvl>
    <w:lvl w:ilvl="1">
      <w:start w:val="1"/>
      <w:numFmt w:val="lowerLetter"/>
      <w:lvlText w:val="%2."/>
      <w:lvlJc w:val="left"/>
      <w:pPr>
        <w:ind w:left="340" w:hanging="340"/>
      </w:pPr>
      <w:rPr>
        <w:smallCaps w:val="0"/>
        <w:strike w:val="0"/>
        <w:shd w:fill="auto" w:val="clear"/>
        <w:vertAlign w:val="baseline"/>
      </w:rPr>
    </w:lvl>
    <w:lvl w:ilvl="2">
      <w:start w:val="1"/>
      <w:numFmt w:val="lowerLetter"/>
      <w:lvlText w:val="%3."/>
      <w:lvlJc w:val="left"/>
      <w:pPr>
        <w:ind w:left="1610" w:hanging="35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9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92"/>
      </w:pPr>
      <w:rPr>
        <w:smallCaps w:val="0"/>
        <w:strike w:val="0"/>
        <w:shd w:fill="auto" w:val="clear"/>
        <w:vertAlign w:val="baseline"/>
      </w:rPr>
    </w:lvl>
  </w:abstractNum>
  <w:abstractNum w:abstractNumId="4">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9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9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92"/>
      </w:pPr>
      <w:rPr>
        <w:smallCaps w:val="0"/>
        <w:strike w:val="0"/>
        <w:shd w:fill="auto" w:val="clear"/>
        <w:vertAlign w:val="baseline"/>
      </w:rPr>
    </w:lvl>
  </w:abstractNum>
  <w:abstractNum w:abstractNumId="5">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9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9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92"/>
      </w:pPr>
      <w:rPr>
        <w:smallCaps w:val="0"/>
        <w:strike w:val="0"/>
        <w:shd w:fill="auto" w:val="clear"/>
        <w:vertAlign w:val="baseline"/>
      </w:rPr>
    </w:lvl>
  </w:abstractNum>
  <w:abstractNum w:abstractNumId="6">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7">
    <w:lvl w:ilvl="0">
      <w:start w:val="1"/>
      <w:numFmt w:val="decimal"/>
      <w:lvlText w:val="%1."/>
      <w:lvlJc w:val="left"/>
      <w:pPr>
        <w:ind w:left="360" w:hanging="360"/>
      </w:pPr>
      <w:rPr>
        <w:b w:val="0"/>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9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9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92"/>
      </w:pPr>
      <w:rPr>
        <w:smallCaps w:val="0"/>
        <w:strike w:val="0"/>
        <w:shd w:fill="auto" w:val="clear"/>
        <w:vertAlign w:val="baseline"/>
      </w:rPr>
    </w:lvl>
  </w:abstractNum>
  <w:abstractNum w:abstractNumId="8">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9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9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92"/>
      </w:pPr>
      <w:rPr>
        <w:smallCaps w:val="0"/>
        <w:strike w:val="0"/>
        <w:shd w:fill="auto" w:val="clear"/>
        <w:vertAlign w:val="baseline"/>
      </w:rPr>
    </w:lvl>
  </w:abstractNum>
  <w:abstractNum w:abstractNumId="9">
    <w:lvl w:ilvl="0">
      <w:start w:val="1"/>
      <w:numFmt w:val="lowerLetter"/>
      <w:lvlText w:val="%1."/>
      <w:lvlJc w:val="left"/>
      <w:pPr>
        <w:ind w:left="36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9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9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92"/>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yperlink">
    <w:name w:val="Hyperlink"/>
    <w:rPr>
      <w:u w:val="single"/>
    </w:rPr>
  </w:style>
  <w:style w:type="paragraph" w:styleId="Koptekst">
    <w:name w:val="header"/>
    <w:pPr>
      <w:tabs>
        <w:tab w:val="center" w:pos="4536"/>
        <w:tab w:val="right" w:pos="9072"/>
      </w:tabs>
    </w:pPr>
    <w:rPr>
      <w:rFonts w:ascii="Verdana" w:cs="Arial Unicode MS" w:hAnsi="Verdana"/>
      <w:color w:val="000000"/>
      <w:sz w:val="15"/>
      <w:szCs w:val="15"/>
      <w:u w:color="000000"/>
    </w:rPr>
  </w:style>
  <w:style w:type="paragraph" w:styleId="Voettekst">
    <w:name w:val="footer"/>
    <w:pPr>
      <w:tabs>
        <w:tab w:val="center" w:pos="4320"/>
        <w:tab w:val="right" w:pos="8640"/>
      </w:tabs>
    </w:pPr>
    <w:rPr>
      <w:rFonts w:ascii="Verdana" w:cs="Arial Unicode MS" w:hAnsi="Verdana"/>
      <w:color w:val="000000"/>
      <w:sz w:val="15"/>
      <w:szCs w:val="15"/>
      <w:u w:color="000000"/>
    </w:rPr>
  </w:style>
  <w:style w:type="paragraph" w:styleId="bodytext" w:customStyle="1">
    <w:name w:val="bodytext"/>
    <w:rPr>
      <w:rFonts w:ascii="Verdana" w:cs="Arial Unicode MS" w:hAnsi="Verdana"/>
      <w:color w:val="000000"/>
      <w:sz w:val="15"/>
      <w:szCs w:val="15"/>
      <w:u w:color="000000"/>
    </w:rPr>
  </w:style>
  <w:style w:type="paragraph" w:styleId="Body" w:customStyle="1">
    <w:name w:val="Body"/>
    <w:rPr>
      <w:rFonts w:ascii="Verdana" w:cs="Arial Unicode MS" w:hAnsi="Verdana"/>
      <w:color w:val="000000"/>
      <w:sz w:val="15"/>
      <w:szCs w:val="15"/>
      <w:u w:color="000000"/>
      <w:lang w:val="de-DE"/>
    </w:rPr>
  </w:style>
  <w:style w:type="numbering" w:styleId="ImportedStyle1" w:customStyle="1">
    <w:name w:val="Imported Style 1"/>
  </w:style>
  <w:style w:type="numbering" w:styleId="ImportedStyle2" w:customStyle="1">
    <w:name w:val="Imported Style 2"/>
  </w:style>
  <w:style w:type="numbering" w:styleId="ImportedStyle3" w:customStyle="1">
    <w:name w:val="Imported Style 3"/>
  </w:style>
  <w:style w:type="paragraph" w:styleId="Lijstalinea">
    <w:name w:val="List Paragraph"/>
    <w:pPr>
      <w:ind w:left="720"/>
    </w:pPr>
    <w:rPr>
      <w:rFonts w:cs="Arial Unicode MS"/>
      <w:color w:val="000000"/>
      <w:u w:color="000000"/>
    </w:rPr>
  </w:style>
  <w:style w:type="numbering" w:styleId="ImportedStyle4" w:customStyle="1">
    <w:name w:val="Imported Style 4"/>
  </w:style>
  <w:style w:type="numbering" w:styleId="ImportedStyle5" w:customStyle="1">
    <w:name w:val="Imported Style 5"/>
  </w:style>
  <w:style w:type="numbering" w:styleId="ImportedStyle6" w:customStyle="1">
    <w:name w:val="Imported Style 6"/>
  </w:style>
  <w:style w:type="numbering" w:styleId="ImportedStyle7" w:customStyle="1">
    <w:name w:val="Imported Style 7"/>
  </w:style>
  <w:style w:type="numbering" w:styleId="ImportedStyle8" w:customStyle="1">
    <w:name w:val="Imported Style 8"/>
  </w:style>
  <w:style w:type="numbering" w:styleId="ImportedStyle9" w:customStyle="1">
    <w:name w:val="Imported Style 9"/>
  </w:style>
  <w:style w:type="paragraph" w:styleId="Ballontekst">
    <w:name w:val="Balloon Text"/>
    <w:basedOn w:val="Standaard"/>
    <w:link w:val="BallontekstChar"/>
    <w:uiPriority w:val="99"/>
    <w:semiHidden w:val="1"/>
    <w:unhideWhenUsed w:val="1"/>
    <w:rsid w:val="007967FA"/>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7967FA"/>
    <w:rPr>
      <w:rFonts w:ascii="Segoe UI" w:cs="Segoe UI" w:hAnsi="Segoe UI"/>
      <w:sz w:val="18"/>
      <w:szCs w:val="18"/>
    </w:r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Verwijzingopmerking">
    <w:name w:val="annotation reference"/>
    <w:basedOn w:val="Standaardalinea-lettertype"/>
    <w:uiPriority w:val="99"/>
    <w:semiHidden w:val="1"/>
    <w:unhideWhenUsed w:val="1"/>
    <w:rsid w:val="00DA4372"/>
    <w:rPr>
      <w:sz w:val="16"/>
      <w:szCs w:val="16"/>
    </w:rPr>
  </w:style>
  <w:style w:type="paragraph" w:styleId="Tekstopmerking">
    <w:name w:val="annotation text"/>
    <w:basedOn w:val="Standaard"/>
    <w:link w:val="TekstopmerkingChar"/>
    <w:uiPriority w:val="99"/>
    <w:unhideWhenUsed w:val="1"/>
    <w:rsid w:val="00DA4372"/>
    <w:rPr>
      <w:sz w:val="20"/>
      <w:szCs w:val="20"/>
    </w:rPr>
  </w:style>
  <w:style w:type="character" w:styleId="TekstopmerkingChar" w:customStyle="1">
    <w:name w:val="Tekst opmerking Char"/>
    <w:basedOn w:val="Standaardalinea-lettertype"/>
    <w:link w:val="Tekstopmerking"/>
    <w:uiPriority w:val="99"/>
    <w:rsid w:val="00DA4372"/>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DA4372"/>
    <w:rPr>
      <w:b w:val="1"/>
      <w:bCs w:val="1"/>
    </w:rPr>
  </w:style>
  <w:style w:type="character" w:styleId="OnderwerpvanopmerkingChar" w:customStyle="1">
    <w:name w:val="Onderwerp van opmerking Char"/>
    <w:basedOn w:val="TekstopmerkingChar"/>
    <w:link w:val="Onderwerpvanopmerking"/>
    <w:uiPriority w:val="99"/>
    <w:semiHidden w:val="1"/>
    <w:rsid w:val="00DA4372"/>
    <w:rPr>
      <w:b w:val="1"/>
      <w:bCs w:val="1"/>
      <w:sz w:val="20"/>
      <w:szCs w:val="20"/>
    </w:rPr>
  </w:style>
  <w:style w:type="paragraph" w:styleId="Revisie">
    <w:name w:val="Revision"/>
    <w:hidden w:val="1"/>
    <w:uiPriority w:val="99"/>
    <w:semiHidden w:val="1"/>
    <w:rsid w:val="00DA4372"/>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avenPro-regular.ttf"/><Relationship Id="rId2" Type="http://schemas.openxmlformats.org/officeDocument/2006/relationships/font" Target="fonts/MavenPro-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a:ea typeface="Helvetica"/>
        <a:cs typeface="Helvetica"/>
      </a:majorFont>
      <a:minorFont>
        <a:latin typeface="Helvetica"/>
        <a:ea typeface="Helvetica"/>
        <a:cs typeface="Helvetica"/>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y5A0UAR+LB9Je/+HEIHSDZHw==">CgMxLjAyCGguZ2pkZ3hzOAByITFLM0YwMVlMM0tzZ1lmanVHaTY0WC1tMDBwU1FQSS02eA==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2023-05-16T17:37:00Z</dcterms:created>
  <dc:creator>Suzanne Parent</dc:creator>
</cp:coreProperties>
</file>